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101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13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13"/>
          <w:sz w:val="36"/>
          <w:szCs w:val="36"/>
        </w:rPr>
        <w:t>江苏赣榆农村商业银行股份有限公司</w:t>
      </w:r>
      <w:bookmarkEnd w:id="0"/>
    </w:p>
    <w:p w14:paraId="0A12BB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0"/>
        <w:jc w:val="center"/>
        <w:textAlignment w:val="baseline"/>
        <w:outlineLvl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pacing w:val="19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19"/>
          <w:sz w:val="36"/>
          <w:szCs w:val="36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19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pacing w:val="19"/>
          <w:sz w:val="36"/>
          <w:szCs w:val="36"/>
          <w:lang w:val="en-US" w:eastAsia="zh-CN"/>
        </w:rPr>
        <w:t>一</w:t>
      </w:r>
      <w:r>
        <w:rPr>
          <w:rFonts w:ascii="宋体" w:hAnsi="宋体" w:eastAsia="宋体" w:cs="宋体"/>
          <w:b/>
          <w:bCs/>
          <w:spacing w:val="19"/>
          <w:sz w:val="36"/>
          <w:szCs w:val="36"/>
        </w:rPr>
        <w:t>季度关联交易信息披露</w:t>
      </w:r>
      <w:r>
        <w:rPr>
          <w:rFonts w:hint="eastAsia" w:ascii="宋体" w:hAnsi="宋体" w:eastAsia="宋体" w:cs="宋体"/>
          <w:b/>
          <w:bCs/>
          <w:spacing w:val="19"/>
          <w:sz w:val="36"/>
          <w:szCs w:val="36"/>
          <w:lang w:val="en-US" w:eastAsia="zh-CN"/>
        </w:rPr>
        <w:t>报告</w:t>
      </w:r>
    </w:p>
    <w:p w14:paraId="5375AC14">
      <w:pPr>
        <w:rPr>
          <w:rFonts w:ascii="Arial"/>
          <w:sz w:val="21"/>
        </w:rPr>
      </w:pPr>
    </w:p>
    <w:p w14:paraId="39E25760">
      <w:pPr>
        <w:rPr>
          <w:rFonts w:ascii="Arial"/>
          <w:sz w:val="21"/>
        </w:rPr>
      </w:pPr>
    </w:p>
    <w:p w14:paraId="77124301">
      <w:pPr>
        <w:rPr>
          <w:rFonts w:ascii="Arial"/>
          <w:sz w:val="21"/>
        </w:rPr>
      </w:pPr>
    </w:p>
    <w:p w14:paraId="694D8A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根据《银行保险机构关联交易管理办法》(中国银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行保险监督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管理委员会令〔2022〕1号)要求，现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本行202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季度末关联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交易情况进行披露：</w:t>
      </w:r>
    </w:p>
    <w:p w14:paraId="2AEAE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711" w:firstLineChars="200"/>
        <w:jc w:val="both"/>
        <w:textAlignment w:val="baseline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7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17"/>
          <w:sz w:val="32"/>
          <w:szCs w:val="32"/>
        </w:rPr>
        <w:t>、关联交易类型及金额</w:t>
      </w:r>
    </w:p>
    <w:p w14:paraId="797DBF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月末，本行各类关联交易情况如下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表：</w:t>
      </w:r>
    </w:p>
    <w:p w14:paraId="68AE04C1">
      <w:pPr>
        <w:spacing w:line="37" w:lineRule="auto"/>
        <w:rPr>
          <w:rFonts w:ascii="Arial"/>
          <w:sz w:val="2"/>
        </w:rPr>
      </w:pP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264"/>
        <w:gridCol w:w="3136"/>
      </w:tblGrid>
      <w:tr w14:paraId="5EDC9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22" w:type="dxa"/>
            <w:vAlign w:val="center"/>
          </w:tcPr>
          <w:p w14:paraId="67A47483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</w:rPr>
              <w:t>关联交易类型</w:t>
            </w:r>
          </w:p>
        </w:tc>
        <w:tc>
          <w:tcPr>
            <w:tcW w:w="3264" w:type="dxa"/>
            <w:vAlign w:val="center"/>
          </w:tcPr>
          <w:p w14:paraId="002DD025">
            <w:pPr>
              <w:pStyle w:val="6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一般关联交易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金额</w:t>
            </w:r>
          </w:p>
          <w:p w14:paraId="30232131">
            <w:pPr>
              <w:pStyle w:val="6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(万元)</w:t>
            </w:r>
          </w:p>
        </w:tc>
        <w:tc>
          <w:tcPr>
            <w:tcW w:w="3136" w:type="dxa"/>
            <w:vAlign w:val="center"/>
          </w:tcPr>
          <w:p w14:paraId="48D3F1DE">
            <w:pPr>
              <w:pStyle w:val="6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重大关联交易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金额</w:t>
            </w:r>
          </w:p>
          <w:p w14:paraId="4F9E2F88">
            <w:pPr>
              <w:pStyle w:val="6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(万元)</w:t>
            </w:r>
          </w:p>
        </w:tc>
      </w:tr>
      <w:tr w14:paraId="010AB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2" w:type="dxa"/>
            <w:vAlign w:val="center"/>
          </w:tcPr>
          <w:p w14:paraId="589040F4">
            <w:pPr>
              <w:pStyle w:val="6"/>
              <w:snapToGrid w:val="0"/>
              <w:spacing w:before="15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授信类</w:t>
            </w:r>
          </w:p>
        </w:tc>
        <w:tc>
          <w:tcPr>
            <w:tcW w:w="3264" w:type="dxa"/>
            <w:vAlign w:val="center"/>
          </w:tcPr>
          <w:p w14:paraId="5E861BED">
            <w:pPr>
              <w:pStyle w:val="6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682.81</w:t>
            </w:r>
          </w:p>
        </w:tc>
        <w:tc>
          <w:tcPr>
            <w:tcW w:w="3136" w:type="dxa"/>
            <w:vAlign w:val="center"/>
          </w:tcPr>
          <w:p w14:paraId="53B5D6D4">
            <w:pPr>
              <w:pStyle w:val="6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52BFD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2" w:type="dxa"/>
            <w:vAlign w:val="center"/>
          </w:tcPr>
          <w:p w14:paraId="3957E410">
            <w:pPr>
              <w:pStyle w:val="6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资产转移类</w:t>
            </w:r>
          </w:p>
        </w:tc>
        <w:tc>
          <w:tcPr>
            <w:tcW w:w="3264" w:type="dxa"/>
            <w:vAlign w:val="center"/>
          </w:tcPr>
          <w:p w14:paraId="0A7EAEFC">
            <w:pPr>
              <w:pStyle w:val="6"/>
              <w:snapToGrid w:val="0"/>
              <w:spacing w:before="18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136" w:type="dxa"/>
            <w:vAlign w:val="center"/>
          </w:tcPr>
          <w:p w14:paraId="596EBC2D">
            <w:pPr>
              <w:pStyle w:val="6"/>
              <w:snapToGrid w:val="0"/>
              <w:spacing w:before="18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7FAC9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2" w:type="dxa"/>
            <w:vAlign w:val="center"/>
          </w:tcPr>
          <w:p w14:paraId="1B09F639">
            <w:pPr>
              <w:pStyle w:val="6"/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服务类</w:t>
            </w:r>
          </w:p>
        </w:tc>
        <w:tc>
          <w:tcPr>
            <w:tcW w:w="3264" w:type="dxa"/>
            <w:vAlign w:val="center"/>
          </w:tcPr>
          <w:p w14:paraId="07252039">
            <w:pPr>
              <w:pStyle w:val="6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136" w:type="dxa"/>
            <w:vAlign w:val="center"/>
          </w:tcPr>
          <w:p w14:paraId="6CF090AC">
            <w:pPr>
              <w:pStyle w:val="6"/>
              <w:snapToGrid w:val="0"/>
              <w:spacing w:before="19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11DED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2" w:type="dxa"/>
            <w:vAlign w:val="center"/>
          </w:tcPr>
          <w:p w14:paraId="7F1884C7">
            <w:pPr>
              <w:pStyle w:val="6"/>
              <w:snapToGrid w:val="0"/>
              <w:spacing w:before="15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其他</w:t>
            </w:r>
          </w:p>
        </w:tc>
        <w:tc>
          <w:tcPr>
            <w:tcW w:w="3264" w:type="dxa"/>
            <w:vAlign w:val="center"/>
          </w:tcPr>
          <w:p w14:paraId="0AB406BD">
            <w:pPr>
              <w:pStyle w:val="6"/>
              <w:snapToGrid w:val="0"/>
              <w:spacing w:before="31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18549.28</w:t>
            </w:r>
          </w:p>
        </w:tc>
        <w:tc>
          <w:tcPr>
            <w:tcW w:w="3136" w:type="dxa"/>
            <w:vAlign w:val="center"/>
          </w:tcPr>
          <w:p w14:paraId="26CDD826">
            <w:pPr>
              <w:pStyle w:val="6"/>
              <w:snapToGrid w:val="0"/>
              <w:spacing w:before="30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 w14:paraId="2C1F59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739" w:firstLineChars="200"/>
        <w:jc w:val="both"/>
        <w:textAlignment w:val="baseline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4"/>
          <w:sz w:val="32"/>
          <w:szCs w:val="32"/>
        </w:rPr>
        <w:t>二、监管比例执行情况</w:t>
      </w:r>
    </w:p>
    <w:p w14:paraId="66326E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7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月末，本行对最大单个关联方授信余额占资本净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额的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%,对最大单个关联法人或非法人组织所在集团的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highlight w:val="none"/>
        </w:rPr>
        <w:t>合计授信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余额占资本净额的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%,对全部关联方的授信余额占资本净额的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lang w:val="en-US" w:eastAsia="zh-CN"/>
        </w:rPr>
        <w:t>0.19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</w:rPr>
        <w:t>%,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各项指标均符合监管要求。</w:t>
      </w:r>
    </w:p>
    <w:p w14:paraId="4D2FFF2D">
      <w:pPr>
        <w:spacing w:line="27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CED088">
      <w:pPr>
        <w:spacing w:line="27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A97BD">
      <w:pPr>
        <w:pStyle w:val="2"/>
        <w:spacing w:before="118" w:line="221" w:lineRule="auto"/>
        <w:ind w:left="49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江苏赣榆农村商业银行股份有限公司</w:t>
      </w:r>
    </w:p>
    <w:p w14:paraId="338AC678">
      <w:pPr>
        <w:pStyle w:val="2"/>
        <w:spacing w:before="323" w:line="222" w:lineRule="auto"/>
        <w:ind w:left="66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</w:rPr>
        <w:t>日</w:t>
      </w:r>
    </w:p>
    <w:p w14:paraId="74975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27199"/>
    <w:rsid w:val="608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9"/>
      <w:szCs w:val="3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2026-04-08T07:21:54Z</dcterms:created>
  <dc:creator>Administrator</dc:creator>
  <cp:lastModifiedBy>寇收堂</cp:lastModifiedBy>
  <dcterms:modified xsi:type="dcterms:W3CDTF">2026-04-08T07:28:58Z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eyJoZGlkIjoiZGU5YjIzOGRjMjI1NDkzZTQ5NDlmZDQxNmQzZTJlMTIiLCJ1c2VySWQiOiI0NjI5OTE3MjgifQ==</vt:lpwstr>
  </property>
  <property fmtid="{D5CDD505-2E9C-101B-9397-08002B2CF9AE}" pid="4" name="ICV">
    <vt:lpwstr>CC8686DEDE5F481BBFCCF289A2FBDC84_12</vt:lpwstr>
  </property>
</Properties>
</file>